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17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предоставления субсидий бюджетам муниципальных районов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(муниципальных округов, городских округов) на приведение в соответствии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 брендбуком "Точка роста" помещений муниципальных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общеобразовательных организаций Брянской области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 рамках государственной программы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Настоящий Порядок устанавливает цели и условия предоставления субсидии бюджетам муниципальных районов (муниципальных округов, городских округов) на приведение в соответствие с брендбуком "Точка роста" помещений муниципальных общеобразовательных организаций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(муниципальных округов, городских округов) для предоставления субсидии, а также порядок отчетности об использовании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 Субсидии предоставляются в целях достижения результата "Обновлена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городах" регионального проекта "Современная школа", значение которого устанавливается в соглашении о предоставлении субсидии, заключаемого в соответствии с </w:t>
      </w:r>
      <w:hyperlink w:anchor="P13169">
        <w:r>
          <w:rPr>
            <w:rFonts w:cs="Times New Roman" w:ascii="Times New Roman" w:hAnsi="Times New Roman"/>
          </w:rPr>
          <w:t>пунктом 11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5. Субсидии предоставляются при условии: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а) 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Отбор муниципальных районов (муниципальных округов, городских округов) для предоставления субсидии осуществляется исходя из перечня общеобразовательных организаций, на базе которых будут созданы центры образования цифрового и гуманитарного профилей "Точка роста" в 2020 - 2022 годах (далее - перечень), утвержденного нормативным правовым актом департамента.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 Объем бюджетных ассигнований, предусмотренных в бюджетах муниципальных районов (муниципальных округов, городских округов) на исполнение расходных обязательств, в целях софинансирования которых предоставляется субсидии, может быть увеличен в одностороннем порядке со стороны муниципального района (муниципального округа, городского округа), что не влечет обязательств по увеличению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8. Распределение субсидии между бюджетами муниципальных районов (муниципальных округов, 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2">
        <w:r>
          <w:rPr>
            <w:rFonts w:cs="Times New Roman" w:ascii="Times New Roman" w:hAnsi="Times New Roman"/>
          </w:rPr>
          <w:t>Законом</w:t>
        </w:r>
      </w:hyperlink>
      <w:r>
        <w:rPr>
          <w:rFonts w:cs="Times New Roman" w:ascii="Times New Roman" w:hAnsi="Times New Roman"/>
        </w:rPr>
        <w:t xml:space="preserve"> Брянской области "О межбюджетных отношениях в Брянской области".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9. Субсидии предоставляются муниципальным районам (муниципальным округам, городским округам), на территории которого находятся образовательные организации, прошедшие отбор в департаменте и согласованные Министерством просвещения Российской Федерации, в рамках заявки на участие в конкурсном отборе на предоставление субсидии из федерального бюджета.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10. Размер субсидии, предоставляемой i-му муниципальному району (муниципальному округу, городскому округу) (Si), определяется по формуле: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</w:t>
      </w:r>
      <w:r>
        <w:rPr>
          <w:rFonts w:cs="Times New Roman" w:ascii="Times New Roman" w:hAnsi="Times New Roman"/>
          <w:vertAlign w:val="subscript"/>
        </w:rPr>
        <w:t>i</w:t>
      </w:r>
      <w:r>
        <w:rPr>
          <w:rFonts w:cs="Times New Roman" w:ascii="Times New Roman" w:hAnsi="Times New Roman"/>
        </w:rPr>
        <w:t xml:space="preserve"> = O</w:t>
      </w:r>
      <w:r>
        <w:rPr>
          <w:rFonts w:cs="Times New Roman" w:ascii="Times New Roman" w:hAnsi="Times New Roman"/>
          <w:vertAlign w:val="subscript"/>
        </w:rPr>
        <w:t>i</w:t>
      </w:r>
      <w:r>
        <w:rPr>
          <w:rFonts w:cs="Times New Roman" w:ascii="Times New Roman" w:hAnsi="Times New Roman"/>
        </w:rPr>
        <w:t xml:space="preserve"> x R, где: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Si - размер субсидии бюджету i-го муниципального района (муниципального округа, городского округа);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Oi - количество общеобразовательных организаций, включенных в перечень в i-м муниципальном районе (муниципальном округе, городском округе);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R - стоимость в расчете на 1 общеобразовательную организацию.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Стоимость в расчете на 1 общеобразовательную организацию (R) определяется по формуле: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mc:AlternateContent>
          <mc:Choice Requires="wps">
            <w:drawing>
              <wp:inline distT="0" distB="0" distL="0" distR="0">
                <wp:extent cx="800735" cy="429260"/>
                <wp:effectExtent l="0" t="0" r="0" b="0"/>
                <wp:docPr id="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0" y="0"/>
                          <a:ext cx="800280" cy="428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style="position:absolute;margin-left:0pt;margin-top:-33.8pt;width:62.95pt;height:33.7pt;v-text-anchor:middle;mso-position-vertical:top" type="shapetype_75">
                <v:imagedata r:id="rId4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V - общий объем субсидии на реализацию мероприятия;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- общее количество общеобразовательных организаций, включенных в перечень на соответствующий финансовый год.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0" w:name="P13169"/>
      <w:bookmarkEnd w:id="0"/>
      <w:r>
        <w:rPr>
          <w:rFonts w:cs="Times New Roman" w:ascii="Times New Roman" w:hAnsi="Times New Roman"/>
        </w:rPr>
        <w:t xml:space="preserve">11.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5">
        <w:r>
          <w:rPr>
            <w:rFonts w:cs="Times New Roman" w:ascii="Times New Roman" w:hAnsi="Times New Roman"/>
          </w:rPr>
          <w:t>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При заключении соглашения орган местного самоуправления муниципального района (муниципального округа, 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6">
        <w:r>
          <w:rPr>
            <w:rFonts w:cs="Times New Roman" w:ascii="Times New Roman" w:hAnsi="Times New Roman"/>
          </w:rPr>
          <w:t>подпунктами "а"</w:t>
        </w:r>
      </w:hyperlink>
      <w:r>
        <w:rPr>
          <w:rFonts w:cs="Times New Roman" w:ascii="Times New Roman" w:hAnsi="Times New Roman"/>
        </w:rPr>
        <w:t xml:space="preserve">, </w:t>
      </w:r>
      <w:hyperlink r:id="rId7">
        <w:r>
          <w:rPr>
            <w:rFonts w:cs="Times New Roman" w:ascii="Times New Roman" w:hAnsi="Times New Roman"/>
          </w:rPr>
          <w:t>"б" пункта 8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tabs>
          <w:tab w:val="clear" w:pos="708"/>
          <w:tab w:val="left" w:pos="709" w:leader="none"/>
        </w:tabs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12. 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>
      <w:pPr>
        <w:pStyle w:val="ConsPlusNormal"/>
        <w:tabs>
          <w:tab w:val="clear" w:pos="708"/>
          <w:tab w:val="left" w:pos="709" w:leader="none"/>
        </w:tabs>
        <w:spacing w:before="220" w:after="0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13.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14. Объем бюджетных ассигнований бюджета муниципального района (муниципального округа, городского округа) на финансовое обеспечение расходного обязательства муниципального района (муниципального округа, городского округа), софинансируемого за счет субсидии, утверждается решением о бюджете муниципального района (муниципального округа, городского округа) (определяется сводной бюджетной росписью бюджета муниципального района (муниципального округа, городского округа)) исходя из необходимости достижения установленных соглашением значений результатов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районов (муниципальных округов, городских округов).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16. Оценка эффективности использования муниципальным районом (муниципальным округом, городским округом)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17. Орган местного самоуправления муниципального района (муниципального округа, городского округа) размещает в сроки и порядке, установленные соглашением, в системе «Электронный бюджет Брянской области»: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отчет о расходах бюджета муниципального района (муниципального округа, городского округа), в целях софинансирования которых предоставлена субсидия;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отчет о достижении значения результата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18. В случае если муниципальным районом (муниципальным округом, городским округом)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района (муниципального округа, городского округа)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Освобождение муниципального района (муниципального округа, городского округа)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19. В случае нецелевого использования субсидии муниципальным районом (муниципальным округом, городским округом) к нему применяются бюджетные меры принуждения, предусмотренные бюджетным законодательством Российской Федерации.</w:t>
      </w:r>
      <w:bookmarkStart w:id="1" w:name="_GoBack"/>
      <w:bookmarkEnd w:id="1"/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20. Контроль за соблюдением муниципальным районом (муниципальным округом, городским округом) условий предоставления субсидии осуществляется департаментом.</w:t>
      </w:r>
    </w:p>
    <w:p>
      <w:pPr>
        <w:pStyle w:val="ConsPlus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rPr>
          <w:rFonts w:ascii="Times New Roman" w:hAnsi="Times New Roman" w:cs="Times New Roman"/>
        </w:rPr>
      </w:pPr>
      <w:r>
        <w:rPr/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5d66cf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6459022ABE20A108D85BEE2D3621143054DC5C34EB627EA0B6C35846B7A5EF7567D56887C1E679CEB92C6F040A7EEAEs8qEF" TargetMode="External"/><Relationship Id="rId3" Type="http://schemas.openxmlformats.org/officeDocument/2006/relationships/image" Target="media/image1.wmf"/><Relationship Id="rId4" Type="http://schemas.openxmlformats.org/officeDocument/2006/relationships/image" Target="media/image2.wmf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6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7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LibreOffice/7.0.1.2$Windows_X86_64 LibreOffice_project/7cbcfc562f6eb6708b5ff7d7397325de9e764452</Application>
  <Pages>3</Pages>
  <Words>1069</Words>
  <Characters>8509</Characters>
  <CharactersWithSpaces>9536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2020-10-13T14:19:00Z</dcterms:created>
  <dc:creator>User</dc:creator>
  <dc:description/>
  <dc:language>ru-RU</dc:language>
  <cp:lastModifiedBy>User</cp:lastModifiedBy>
  <dcterms:modified xsi:type="dcterms:W3CDTF">2021-10-12T13:00:00Z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